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E59" w:rsidP="00AD2600" w:rsidRDefault="00AD2600" w14:paraId="690A4BA1" w14:textId="1CE184D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UMOEN Oncology Journal Club</w:t>
      </w:r>
    </w:p>
    <w:p w:rsidR="00AD2600" w:rsidP="00AD2600" w:rsidRDefault="00D56586" w14:paraId="12B32E37" w14:textId="52E1F7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2652B01D" w:rsidR="00D56586">
        <w:rPr>
          <w:rFonts w:ascii="Arial" w:hAnsi="Arial" w:cs="Arial"/>
          <w:b w:val="1"/>
          <w:bCs w:val="1"/>
        </w:rPr>
        <w:t>March</w:t>
      </w:r>
      <w:r w:rsidRPr="2652B01D" w:rsidR="0032047E">
        <w:rPr>
          <w:rFonts w:ascii="Arial" w:hAnsi="Arial" w:cs="Arial"/>
          <w:b w:val="1"/>
          <w:bCs w:val="1"/>
        </w:rPr>
        <w:t xml:space="preserve"> 2022</w:t>
      </w:r>
    </w:p>
    <w:p w:rsidR="3064E963" w:rsidP="2652B01D" w:rsidRDefault="3064E963" w14:paraId="3700D557" w14:textId="0C6CE1F4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2652B01D" w:rsidR="3064E963">
        <w:rPr>
          <w:rFonts w:ascii="Arial" w:hAnsi="Arial" w:cs="Arial"/>
          <w:b w:val="1"/>
          <w:bCs w:val="1"/>
        </w:rPr>
        <w:t>Gardens of Salonica, Minneapolis, MN</w:t>
      </w:r>
    </w:p>
    <w:p w:rsidR="00AD2600" w:rsidP="00AD2600" w:rsidRDefault="00AD2600" w14:paraId="7A6E52A2" w14:textId="75650B4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Pr="00B35D92" w:rsidR="00B35D92" w:rsidP="00B35D92" w:rsidRDefault="00B35D92" w14:paraId="160D264C" w14:textId="17B9C7F3">
      <w:pPr>
        <w:spacing w:after="0" w:line="240" w:lineRule="auto"/>
        <w:rPr>
          <w:rFonts w:ascii="Arial" w:hAnsi="Arial" w:cs="Arial"/>
        </w:rPr>
      </w:pPr>
      <w:r w:rsidRPr="00B35D92">
        <w:rPr>
          <w:rFonts w:ascii="Arial" w:hAnsi="Arial" w:cs="Arial"/>
        </w:rPr>
        <w:t>Monjuvi (Tafasitamab-CXIX) for Use As Second-Line Therapy in Adult Patients With R/R DLBCL, in Combination with Lenalidomide by Emilie Aschenbrenner, PharmD, BCOP, Acute Care Coordinator Clinical Oncology Pharmacist, Froedtert Health</w:t>
      </w:r>
    </w:p>
    <w:p w:rsidRPr="00B35D92" w:rsidR="00B35D92" w:rsidP="00B35D92" w:rsidRDefault="00B35D92" w14:paraId="1182EA55" w14:textId="77777777">
      <w:pPr>
        <w:spacing w:after="0" w:line="240" w:lineRule="auto"/>
        <w:rPr>
          <w:rFonts w:ascii="Arial" w:hAnsi="Arial" w:cs="Arial"/>
        </w:rPr>
      </w:pPr>
      <w:r w:rsidRPr="00B35D92">
        <w:rPr>
          <w:rFonts w:ascii="Arial" w:hAnsi="Arial" w:cs="Arial"/>
        </w:rPr>
        <w:t xml:space="preserve"> </w:t>
      </w:r>
    </w:p>
    <w:p w:rsidRPr="00AD2600" w:rsidR="004D4941" w:rsidP="00B35D92" w:rsidRDefault="00B35D92" w14:paraId="0411B324" w14:textId="52F6225A">
      <w:pPr>
        <w:spacing w:after="0" w:line="240" w:lineRule="auto"/>
        <w:rPr>
          <w:rFonts w:ascii="Arial" w:hAnsi="Arial" w:cs="Arial"/>
        </w:rPr>
      </w:pPr>
      <w:r w:rsidRPr="00B35D92">
        <w:rPr>
          <w:rFonts w:ascii="Arial" w:hAnsi="Arial" w:cs="Arial"/>
        </w:rPr>
        <w:t>Updates in the Management of Cervical Cancer by Samantha Larson, PharmD, BCOP, Hematology/Oncology Clinical Pharmacist, M Health Fairview Maple Grove Cancer Clinic</w:t>
      </w:r>
    </w:p>
    <w:sectPr w:rsidRPr="00AD2600" w:rsidR="004D49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00"/>
    <w:rsid w:val="001B6C8F"/>
    <w:rsid w:val="0032047E"/>
    <w:rsid w:val="004D4941"/>
    <w:rsid w:val="007C4E59"/>
    <w:rsid w:val="00A2210A"/>
    <w:rsid w:val="00AD2600"/>
    <w:rsid w:val="00B35D92"/>
    <w:rsid w:val="00D56586"/>
    <w:rsid w:val="2652B01D"/>
    <w:rsid w:val="3064E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1F60"/>
  <w15:chartTrackingRefBased/>
  <w15:docId w15:val="{D51A7AB6-B882-44E5-A53F-D9530C5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Engle, Jeff</dc:creator>
  <keywords/>
  <dc:description/>
  <lastModifiedBy>Engle, Jeff</lastModifiedBy>
  <revision>5</revision>
  <dcterms:created xsi:type="dcterms:W3CDTF">2022-08-23T19:23:00.0000000Z</dcterms:created>
  <dcterms:modified xsi:type="dcterms:W3CDTF">2022-08-23T19:32:27.4312040Z</dcterms:modified>
</coreProperties>
</file>