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E59" w:rsidP="00AD2600" w:rsidRDefault="00AD2600" w14:paraId="690A4BA1" w14:textId="1CE184D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UMOEN Oncology Journal Club</w:t>
      </w:r>
    </w:p>
    <w:p w:rsidR="00AD2600" w:rsidP="00AD2600" w:rsidRDefault="00D56586" w14:paraId="12B32E37" w14:textId="00E71879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6228DD1A" w:rsidR="00D56586">
        <w:rPr>
          <w:rFonts w:ascii="Arial" w:hAnsi="Arial" w:cs="Arial"/>
          <w:b w:val="1"/>
          <w:bCs w:val="1"/>
        </w:rPr>
        <w:t>Ma</w:t>
      </w:r>
      <w:r w:rsidRPr="6228DD1A" w:rsidR="286E6078">
        <w:rPr>
          <w:rFonts w:ascii="Arial" w:hAnsi="Arial" w:cs="Arial"/>
          <w:b w:val="1"/>
          <w:bCs w:val="1"/>
        </w:rPr>
        <w:t>y</w:t>
      </w:r>
      <w:r w:rsidRPr="6228DD1A" w:rsidR="0032047E">
        <w:rPr>
          <w:rFonts w:ascii="Arial" w:hAnsi="Arial" w:cs="Arial"/>
          <w:b w:val="1"/>
          <w:bCs w:val="1"/>
        </w:rPr>
        <w:t xml:space="preserve"> 2022</w:t>
      </w:r>
    </w:p>
    <w:p w:rsidR="00AD2600" w:rsidP="00AD2600" w:rsidRDefault="00AD2600" w14:paraId="7A6E52A2" w14:textId="75650B4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2F18D0" w:rsidR="002F18D0" w:rsidP="002F18D0" w:rsidRDefault="002F18D0" w14:paraId="68839733" w14:textId="46BC22A7">
      <w:pPr>
        <w:spacing w:after="0" w:line="240" w:lineRule="auto"/>
        <w:rPr>
          <w:rFonts w:ascii="Arial" w:hAnsi="Arial" w:cs="Arial"/>
        </w:rPr>
      </w:pPr>
      <w:r w:rsidRPr="002F18D0">
        <w:rPr>
          <w:rFonts w:ascii="Arial" w:hAnsi="Arial" w:cs="Arial"/>
        </w:rPr>
        <w:t>ZYNLONTA (loncastuximab tesirine-lpyl), the First-and-Only CD19-Targeted ADC, for the Treatment of Adults with R/R DLBCL After Two or More Lines of Systemic Therapy</w:t>
      </w:r>
      <w:r w:rsidR="00CB1E8A">
        <w:rPr>
          <w:rFonts w:ascii="Arial" w:hAnsi="Arial" w:cs="Arial"/>
        </w:rPr>
        <w:t xml:space="preserve"> by Anand Tandra, MD, Indiana Blood and Marrow Transplant</w:t>
      </w:r>
    </w:p>
    <w:p w:rsidRPr="002F18D0" w:rsidR="002F18D0" w:rsidP="002F18D0" w:rsidRDefault="002F18D0" w14:paraId="1B4C783D" w14:textId="77777777">
      <w:pPr>
        <w:spacing w:after="0" w:line="240" w:lineRule="auto"/>
        <w:rPr>
          <w:rFonts w:ascii="Arial" w:hAnsi="Arial" w:cs="Arial"/>
        </w:rPr>
      </w:pPr>
      <w:r w:rsidRPr="002F18D0">
        <w:rPr>
          <w:rFonts w:ascii="Arial" w:hAnsi="Arial" w:cs="Arial"/>
        </w:rPr>
        <w:t xml:space="preserve"> </w:t>
      </w:r>
    </w:p>
    <w:p w:rsidR="002F18D0" w:rsidP="002F18D0" w:rsidRDefault="002F18D0" w14:paraId="5FAD8789" w14:textId="3B27C13D">
      <w:pPr>
        <w:spacing w:after="0" w:line="240" w:lineRule="auto"/>
        <w:rPr>
          <w:rFonts w:ascii="Arial" w:hAnsi="Arial" w:cs="Arial"/>
        </w:rPr>
      </w:pPr>
      <w:r w:rsidRPr="002F18D0">
        <w:rPr>
          <w:rFonts w:ascii="Arial" w:hAnsi="Arial" w:cs="Arial"/>
        </w:rPr>
        <w:t>Updates in the Treatment of Multiple Myeloma by Kirollos Hanna, PharmD, BCOP, BCPS, Oncology Pharmacy Manager, M Health Fairview Maple Grove Cancer Center</w:t>
      </w:r>
    </w:p>
    <w:p w:rsidRPr="002F18D0" w:rsidR="002F18D0" w:rsidP="002F18D0" w:rsidRDefault="002F18D0" w14:paraId="7F2D0A96" w14:textId="77777777">
      <w:pPr>
        <w:spacing w:after="0" w:line="240" w:lineRule="auto"/>
        <w:rPr>
          <w:rFonts w:ascii="Arial" w:hAnsi="Arial" w:cs="Arial"/>
        </w:rPr>
      </w:pPr>
    </w:p>
    <w:p w:rsidRPr="00AD2600" w:rsidR="004D4941" w:rsidP="002F18D0" w:rsidRDefault="002F18D0" w14:paraId="0411B324" w14:textId="4BF129E5">
      <w:pPr>
        <w:spacing w:after="0" w:line="240" w:lineRule="auto"/>
        <w:rPr>
          <w:rFonts w:ascii="Arial" w:hAnsi="Arial" w:cs="Arial"/>
        </w:rPr>
      </w:pPr>
      <w:r w:rsidRPr="002F18D0">
        <w:rPr>
          <w:rFonts w:ascii="Arial" w:hAnsi="Arial" w:cs="Arial"/>
        </w:rPr>
        <w:t>Tebentafusp for Unresectable or Metastatic Uveal Melanoma: A New Drug Discussion by Ian Watson, PharmD, PGY-2 Oncology Pharmacy Resident, M Health Fairview</w:t>
      </w:r>
    </w:p>
    <w:sectPr w:rsidRPr="00AD2600" w:rsidR="004D49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0"/>
    <w:rsid w:val="001B6C8F"/>
    <w:rsid w:val="002F18D0"/>
    <w:rsid w:val="0032047E"/>
    <w:rsid w:val="004D4941"/>
    <w:rsid w:val="007C4E59"/>
    <w:rsid w:val="00A2210A"/>
    <w:rsid w:val="00AD2600"/>
    <w:rsid w:val="00B35D92"/>
    <w:rsid w:val="00CB1E8A"/>
    <w:rsid w:val="00D56586"/>
    <w:rsid w:val="00F945B8"/>
    <w:rsid w:val="286E6078"/>
    <w:rsid w:val="6228D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F60"/>
  <w15:chartTrackingRefBased/>
  <w15:docId w15:val="{D51A7AB6-B882-44E5-A53F-D9530C5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Engle, Jeff</dc:creator>
  <keywords/>
  <dc:description/>
  <lastModifiedBy>Engle, Jeff</lastModifiedBy>
  <revision>5</revision>
  <dcterms:created xsi:type="dcterms:W3CDTF">2022-08-23T19:24:00.0000000Z</dcterms:created>
  <dcterms:modified xsi:type="dcterms:W3CDTF">2022-08-23T19:29:23.3929657Z</dcterms:modified>
</coreProperties>
</file>